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100C6633" wp14:editId="46B97AD5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A73133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</w:rPr>
              <w:t>31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st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97322">
              <w:rPr>
                <w:rFonts w:ascii="Georgia" w:hAnsi="Georgia"/>
                <w:b/>
                <w:bCs/>
                <w:sz w:val="32"/>
                <w:szCs w:val="32"/>
              </w:rPr>
              <w:t>August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</w:rPr>
              <w:t>63</w:t>
            </w:r>
            <w:r w:rsidR="000C14E8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392B6A" w:rsidRDefault="00C97322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C51F88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 xml:space="preserve">A larger </w:t>
            </w:r>
            <w:r w:rsidR="00C51F88">
              <w:rPr>
                <w:rFonts w:ascii="Verdana" w:hAnsi="Verdana"/>
              </w:rPr>
              <w:t xml:space="preserve">line of vealers were yarded this week and saw very strong demand from the </w:t>
            </w:r>
            <w:proofErr w:type="spellStart"/>
            <w:r w:rsidR="00C51F88">
              <w:rPr>
                <w:rFonts w:ascii="Verdana" w:hAnsi="Verdana"/>
              </w:rPr>
              <w:t>restocker</w:t>
            </w:r>
            <w:proofErr w:type="spellEnd"/>
            <w:r w:rsidR="00C51F88">
              <w:rPr>
                <w:rFonts w:ascii="Verdana" w:hAnsi="Verdana"/>
              </w:rPr>
              <w:t xml:space="preserve"> market and were dearer.  Export cattle remained fully firm for the quality offered, while feeders and trade were again firm to dearer on last weeks’ strong rates.  </w:t>
            </w:r>
            <w:r w:rsidR="00392B6A">
              <w:rPr>
                <w:rFonts w:ascii="Verdana" w:hAnsi="Verdana"/>
              </w:rPr>
              <w:t xml:space="preserve"> 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51F88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EVANS &amp; ROWLING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1497.00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97322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 &amp; K HARRIS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565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1538.00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&amp; C GREENAWAY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790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9C06ED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2142.00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C14E8">
              <w:rPr>
                <w:rFonts w:ascii="Verdana" w:hAnsi="Verdana"/>
                <w:sz w:val="17"/>
                <w:szCs w:val="17"/>
              </w:rPr>
              <w:t>[Full mouth]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KURT BUCHANAN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1612.00</w:t>
            </w:r>
          </w:p>
        </w:tc>
      </w:tr>
      <w:tr w:rsidR="000C14E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0C14E8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C51F8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TEIS &amp; NOLAN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413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14E8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1502.00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  <w:r w:rsidR="00C51F88">
              <w:rPr>
                <w:rFonts w:ascii="Verdana" w:hAnsi="Verdana"/>
                <w:sz w:val="17"/>
                <w:szCs w:val="17"/>
              </w:rPr>
              <w:t>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51F8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JE &amp; BT FAULKNER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490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1765.00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C14E8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C51F88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TEIS &amp; NOLAN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1306.00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0C14E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</w:t>
            </w:r>
            <w:r w:rsidR="00C51F88">
              <w:rPr>
                <w:rFonts w:ascii="Verdana" w:hAnsi="Verdana"/>
                <w:sz w:val="17"/>
                <w:szCs w:val="17"/>
              </w:rPr>
              <w:t xml:space="preserve"> 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C51F8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C51F8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 GREENHILL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C51F88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C06ED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1909.00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0C14E8" w:rsidP="00392B6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CASEY CONTRACTING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1225.00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KA &amp; SA JOSLING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638.00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NJ, JV &amp; RJ BULOW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708.00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WMR CALLINAN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1049.00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AD &amp; HJ THORNTON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9C06ED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843.00</w:t>
            </w:r>
            <w:bookmarkStart w:id="0" w:name="_GoBack"/>
            <w:bookmarkEnd w:id="0"/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Pr="00C80671" w:rsidRDefault="008252C9" w:rsidP="00392B6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125FBA"/>
    <w:rsid w:val="001354B2"/>
    <w:rsid w:val="00160D72"/>
    <w:rsid w:val="00171414"/>
    <w:rsid w:val="001A26E2"/>
    <w:rsid w:val="001B709C"/>
    <w:rsid w:val="001D137F"/>
    <w:rsid w:val="001D4721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252C9"/>
    <w:rsid w:val="008B40AD"/>
    <w:rsid w:val="009C06ED"/>
    <w:rsid w:val="009F44B0"/>
    <w:rsid w:val="00A10AE3"/>
    <w:rsid w:val="00A231D4"/>
    <w:rsid w:val="00A36F44"/>
    <w:rsid w:val="00A73133"/>
    <w:rsid w:val="00A748E1"/>
    <w:rsid w:val="00B158D5"/>
    <w:rsid w:val="00B20848"/>
    <w:rsid w:val="00B96972"/>
    <w:rsid w:val="00BA0A1F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D707-F72B-4E80-8672-9AB5B19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2</cp:revision>
  <cp:lastPrinted>2016-04-27T03:55:00Z</cp:lastPrinted>
  <dcterms:created xsi:type="dcterms:W3CDTF">2016-08-31T03:40:00Z</dcterms:created>
  <dcterms:modified xsi:type="dcterms:W3CDTF">2016-08-31T03:40:00Z</dcterms:modified>
</cp:coreProperties>
</file>